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BC" w:rsidRPr="00A3412E" w:rsidRDefault="007C73BC" w:rsidP="007C73BC">
      <w:pPr>
        <w:pStyle w:val="MessageHeader"/>
        <w:tabs>
          <w:tab w:val="clear" w:pos="720"/>
          <w:tab w:val="clear" w:pos="4320"/>
        </w:tabs>
        <w:spacing w:line="360" w:lineRule="atLeast"/>
        <w:ind w:left="0" w:firstLine="0"/>
        <w:jc w:val="center"/>
        <w:rPr>
          <w:b/>
          <w:sz w:val="36"/>
          <w:szCs w:val="36"/>
        </w:rPr>
      </w:pPr>
      <w:r w:rsidRPr="00A3412E">
        <w:rPr>
          <w:b/>
          <w:sz w:val="36"/>
          <w:szCs w:val="36"/>
        </w:rPr>
        <w:t>900151 CO2/O2 NEMA-4 Shipping Container (CAT) Headspace Gas Analyzer</w:t>
      </w:r>
    </w:p>
    <w:p w:rsidR="007C73BC" w:rsidRDefault="00F724CD" w:rsidP="007C73BC">
      <w:pPr>
        <w:pStyle w:val="Header"/>
        <w:tabs>
          <w:tab w:val="clear" w:pos="4320"/>
          <w:tab w:val="clear" w:pos="8640"/>
        </w:tabs>
        <w:spacing w:before="60" w:after="60"/>
        <w:jc w:val="center"/>
        <w:rPr>
          <w:b/>
          <w:u w:val="single"/>
        </w:rPr>
      </w:pPr>
      <w:r w:rsidRPr="00AE11B8">
        <w:rPr>
          <w:b/>
          <w:noProof/>
          <w:u w:val="single"/>
        </w:rPr>
        <w:drawing>
          <wp:inline distT="0" distB="0" distL="0" distR="0">
            <wp:extent cx="5478145" cy="4190365"/>
            <wp:effectExtent l="0" t="0" r="8255" b="635"/>
            <wp:docPr id="3" name="Picture 1" descr="Bare%204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e%204S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145" cy="4190365"/>
                    </a:xfrm>
                    <a:prstGeom prst="rect">
                      <a:avLst/>
                    </a:prstGeom>
                    <a:noFill/>
                    <a:ln>
                      <a:noFill/>
                    </a:ln>
                  </pic:spPr>
                </pic:pic>
              </a:graphicData>
            </a:graphic>
          </wp:inline>
        </w:drawing>
      </w:r>
      <w:r w:rsidR="007C73BC">
        <w:rPr>
          <w:b/>
          <w:u w:val="single"/>
        </w:rPr>
        <w:t>Model 900151 (CO2/O2) container headspace  gas analyzer with BH3-60 coupling and 6 ft line.</w:t>
      </w:r>
    </w:p>
    <w:p w:rsidR="007C73BC" w:rsidRDefault="007C73BC" w:rsidP="007C73BC">
      <w:pPr>
        <w:pStyle w:val="Header"/>
        <w:tabs>
          <w:tab w:val="clear" w:pos="4320"/>
          <w:tab w:val="clear" w:pos="8640"/>
        </w:tabs>
        <w:spacing w:before="60" w:after="60"/>
      </w:pPr>
      <w:r>
        <w:t>The Model 900151 gas analyzer is used to measure the Oxygen and Carbon Dioxide level in a Controlled Atmosph</w:t>
      </w:r>
      <w:bookmarkStart w:id="0" w:name="_GoBack"/>
      <w:bookmarkEnd w:id="0"/>
      <w:r>
        <w:t>ere Transport (CAT) shipping container.  The analyzer is fully wash-down protected and is housed in a very compact NEMA-4 case, measuring only 6 ¼ L x 3W x 3 ½H and weighing 2.5 lbs.  The analyzer is fully sealed against the environment and protects the internal electronics from water and dirt intrusion, allowing the analyzer to be washed down with water after use.  It also contains an internal NiMH battery pack that will operate the unit on a standalone basis for up to 6 hours.</w:t>
      </w:r>
    </w:p>
    <w:p w:rsidR="007C73BC" w:rsidRDefault="007C73BC" w:rsidP="007C73BC">
      <w:pPr>
        <w:pStyle w:val="Header"/>
        <w:tabs>
          <w:tab w:val="clear" w:pos="4320"/>
          <w:tab w:val="clear" w:pos="8640"/>
        </w:tabs>
        <w:spacing w:after="60"/>
      </w:pPr>
      <w:r>
        <w:t xml:space="preserve">The analyzer is controlled by an internal microprocessor, and uses time-proven NDIR technology for CO2 measurement and a rugged chemical sensor for O2 analysis.  All operating controls are by means of a sealed membrane switch – and the analyzer consumes a mere 2 ½ Watts during operation.  (A detailed specification is included at the end of this description.) </w:t>
      </w:r>
    </w:p>
    <w:p w:rsidR="007C73BC" w:rsidRDefault="007C73BC" w:rsidP="007C73BC">
      <w:pPr>
        <w:pStyle w:val="Header"/>
        <w:tabs>
          <w:tab w:val="clear" w:pos="4320"/>
          <w:tab w:val="clear" w:pos="8640"/>
        </w:tabs>
        <w:spacing w:after="60"/>
      </w:pPr>
      <w:r>
        <w:lastRenderedPageBreak/>
        <w:t>Gas is sampled from the container by means of the gas port – an industry standard BH3-60 quick disconnect male fitting on the container.  Be disconnecting the input gas line and connecting the analyzer to the container, the container ambient gas is drawn into the analyzer by means of the built-in analyzer sample pump, analyzed, and the gas data presented on the bright ½ inch LED displays.</w:t>
      </w:r>
    </w:p>
    <w:p w:rsidR="007C73BC" w:rsidRDefault="007C73BC" w:rsidP="007C73BC">
      <w:pPr>
        <w:pStyle w:val="Header"/>
        <w:tabs>
          <w:tab w:val="clear" w:pos="4320"/>
          <w:tab w:val="clear" w:pos="8640"/>
        </w:tabs>
        <w:spacing w:before="60" w:after="60"/>
      </w:pPr>
      <w:r>
        <w:t>The analyzer contains an internal water trap and protective filter to prevent any contamination or moisture in the sample gas from reaching the analyzer optics.</w:t>
      </w:r>
    </w:p>
    <w:p w:rsidR="007C73BC" w:rsidRDefault="00F724CD" w:rsidP="007C73BC">
      <w:pPr>
        <w:pStyle w:val="Header"/>
        <w:tabs>
          <w:tab w:val="clear" w:pos="4320"/>
          <w:tab w:val="clear" w:pos="8640"/>
          <w:tab w:val="decimal" w:pos="5130"/>
        </w:tabs>
        <w:spacing w:before="120" w:after="120"/>
        <w:rPr>
          <w:b/>
          <w:sz w:val="22"/>
          <w:u w:val="single"/>
        </w:rPr>
      </w:pPr>
      <w:r w:rsidRPr="00AE11B8">
        <w:rPr>
          <w:b/>
          <w:noProof/>
          <w:sz w:val="22"/>
          <w:u w:val="single"/>
        </w:rPr>
        <w:drawing>
          <wp:inline distT="0" distB="0" distL="0" distR="0">
            <wp:extent cx="5486400" cy="3673475"/>
            <wp:effectExtent l="0" t="0" r="0" b="3175"/>
            <wp:docPr id="1" name="Picture 2" descr="Bag%206%20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206%20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73475"/>
                    </a:xfrm>
                    <a:prstGeom prst="rect">
                      <a:avLst/>
                    </a:prstGeom>
                    <a:noFill/>
                    <a:ln>
                      <a:noFill/>
                    </a:ln>
                  </pic:spPr>
                </pic:pic>
              </a:graphicData>
            </a:graphic>
          </wp:inline>
        </w:drawing>
      </w:r>
      <w:r w:rsidR="007C73BC">
        <w:rPr>
          <w:b/>
          <w:sz w:val="22"/>
          <w:u w:val="single"/>
        </w:rPr>
        <w:t>Model 900151 CAT CO2/O2 Analyzer – Showing Operation Configuration in Soft Case</w:t>
      </w:r>
    </w:p>
    <w:p w:rsidR="007C73BC" w:rsidRDefault="007C73BC" w:rsidP="007C73BC">
      <w:r>
        <w:t>As can be seen above, the Model 900151 is a totally sealed unit.  All gas and control access is from the top of the unit, including battery charging and Digital Communication (through the sealed connector just below the battery charger input).  Operating controls are by means of a sealed membrane-switch assembly – and the power switch is a toggle switch at the center-right side of the case, protected by a flexible white boot.  The gas input is a Luer-Lock female fitting at the top/right of the case, including a 25 MM filter at the end of the coiled sample line.</w:t>
      </w:r>
    </w:p>
    <w:p w:rsidR="007C73BC" w:rsidRDefault="007C73BC" w:rsidP="007C73BC">
      <w:pPr>
        <w:spacing w:before="60"/>
      </w:pPr>
      <w:r>
        <w:t xml:space="preserve">The Model 900151 is a CAT (Controlled Atmosphere Transport) portable gas analyzer, used to measure CO2 and O2 gas levels inside a shipping container.  Gas is measured by sampling the output of a BH3-60 male gas port of a shipping container.  Sample gas may be drawn and measured either continuously or by a sample and hold method, where it is drawn either continuously or for 20 seconds (Sample/Hold Mode)  from a BH3-60 female quick disconnect connector through a 6 foot sample line and water trap at 250 ml/min.  </w:t>
      </w:r>
    </w:p>
    <w:p w:rsidR="007C73BC" w:rsidRDefault="007C73BC" w:rsidP="007C73BC">
      <w:pPr>
        <w:spacing w:before="60"/>
      </w:pPr>
      <w:r>
        <w:lastRenderedPageBreak/>
        <w:t>The Model 900151 is designed for measuring either natural respiration or gas enhancement, and has a full 100.0% CO2 /O2 range, but is also auto-range switching to improve low gas accuracy for gas values under 10.0%.  The Oxygen sensor is an advanced, thermally compensated design, and has a life of 12 months in typical operation, and the CO2 is measured by a rugged NDIR optical head.</w:t>
      </w:r>
    </w:p>
    <w:p w:rsidR="007C73BC" w:rsidRDefault="007C73BC" w:rsidP="007C73BC">
      <w:pPr>
        <w:spacing w:before="60"/>
      </w:pPr>
      <w:r>
        <w:t xml:space="preserve">The analyzer may also be operated in the protective soft-case and as it is battery-powered and totally self-contained, it can easily be carried from location to location and operated continuously for long periods of time.  The analyzer also may be operated off 110 /220VAC power using  the external power supply provided with the unit. </w:t>
      </w:r>
    </w:p>
    <w:p w:rsidR="007C73BC" w:rsidRDefault="007C73BC" w:rsidP="007C73BC">
      <w:pPr>
        <w:spacing w:before="60"/>
      </w:pPr>
      <w:r>
        <w:t>Products are complete with soft case, sample line, coupling, and filters (1 spare), manual, and battery charger/remote power.  All of the analyzer components and accessories fit into the soft-foam-filled nylon case, making for a clean, complete package that can be stored or shipped without concern.  The analyzer can either be operated in the soft case for additional shock protection (the soft case has a shoulder strap for easy hands-free transport), or  removed from the case for operation as a standalone unit.  The analyzer is fully sealed against water for superior environmental protection, and can even be washed down at the end of use.</w:t>
      </w:r>
    </w:p>
    <w:p w:rsidR="007C73BC" w:rsidRDefault="007C73BC" w:rsidP="007C73BC">
      <w:pPr>
        <w:pStyle w:val="Heading2"/>
        <w:pBdr>
          <w:top w:val="single" w:sz="8" w:space="0" w:color="auto"/>
        </w:pBdr>
        <w:spacing w:before="0"/>
        <w:rPr>
          <w:rFonts w:ascii="Arial" w:hAnsi="Arial" w:cs="Arial"/>
        </w:rPr>
      </w:pPr>
      <w:r>
        <w:rPr>
          <w:rFonts w:ascii="Arial" w:hAnsi="Arial" w:cs="Arial"/>
        </w:rPr>
        <w:t>900151 - CO2/O2 Shipping Container Headspace Gas Analyzer Specifications</w:t>
      </w:r>
    </w:p>
    <w:tbl>
      <w:tblPr>
        <w:tblW w:w="9137" w:type="dxa"/>
        <w:jc w:val="center"/>
        <w:tblLayout w:type="fixed"/>
        <w:tblLook w:val="0000" w:firstRow="0" w:lastRow="0" w:firstColumn="0" w:lastColumn="0" w:noHBand="0" w:noVBand="0"/>
      </w:tblPr>
      <w:tblGrid>
        <w:gridCol w:w="2785"/>
        <w:gridCol w:w="6352"/>
      </w:tblGrid>
      <w:tr w:rsidR="007C73BC" w:rsidTr="00DF3CDE">
        <w:tblPrEx>
          <w:tblCellMar>
            <w:top w:w="0" w:type="dxa"/>
            <w:bottom w:w="0" w:type="dxa"/>
          </w:tblCellMar>
        </w:tblPrEx>
        <w:trPr>
          <w:jc w:val="center"/>
        </w:trPr>
        <w:tc>
          <w:tcPr>
            <w:tcW w:w="2785" w:type="dxa"/>
          </w:tcPr>
          <w:p w:rsidR="007C73BC" w:rsidRDefault="007C73BC" w:rsidP="00DF3CDE">
            <w:pPr>
              <w:pStyle w:val="BodyTextFirst"/>
              <w:spacing w:before="60" w:after="60"/>
              <w:ind w:left="0"/>
              <w:rPr>
                <w:sz w:val="22"/>
              </w:rPr>
            </w:pPr>
            <w:r>
              <w:rPr>
                <w:sz w:val="22"/>
              </w:rPr>
              <w:t>Gases Measured:</w:t>
            </w:r>
          </w:p>
        </w:tc>
        <w:tc>
          <w:tcPr>
            <w:tcW w:w="6352" w:type="dxa"/>
          </w:tcPr>
          <w:p w:rsidR="007C73BC" w:rsidRDefault="007C73BC" w:rsidP="00DF3CDE">
            <w:pPr>
              <w:pStyle w:val="BodyTextFirst"/>
              <w:spacing w:before="60" w:after="60"/>
              <w:ind w:left="0" w:right="72"/>
              <w:rPr>
                <w:sz w:val="22"/>
              </w:rPr>
            </w:pPr>
            <w:r>
              <w:rPr>
                <w:sz w:val="22"/>
              </w:rPr>
              <w:t>Carbon Dioxide (CO2), and Oxygen (O2)</w:t>
            </w:r>
          </w:p>
        </w:tc>
      </w:tr>
      <w:tr w:rsidR="007C73BC" w:rsidTr="00DF3CDE">
        <w:tblPrEx>
          <w:tblCellMar>
            <w:top w:w="0" w:type="dxa"/>
            <w:bottom w:w="0" w:type="dxa"/>
          </w:tblCellMar>
        </w:tblPrEx>
        <w:trPr>
          <w:jc w:val="center"/>
        </w:trPr>
        <w:tc>
          <w:tcPr>
            <w:tcW w:w="2785" w:type="dxa"/>
          </w:tcPr>
          <w:p w:rsidR="007C73BC" w:rsidRDefault="007C73BC" w:rsidP="00DF3CDE">
            <w:pPr>
              <w:pStyle w:val="BodyTextFirst"/>
              <w:spacing w:before="60" w:after="60"/>
              <w:ind w:left="0"/>
              <w:rPr>
                <w:sz w:val="22"/>
              </w:rPr>
            </w:pPr>
            <w:r>
              <w:rPr>
                <w:sz w:val="22"/>
              </w:rPr>
              <w:t>Measurement Methods:</w:t>
            </w:r>
          </w:p>
        </w:tc>
        <w:tc>
          <w:tcPr>
            <w:tcW w:w="6352" w:type="dxa"/>
          </w:tcPr>
          <w:p w:rsidR="007C73BC" w:rsidRDefault="007C73BC" w:rsidP="00DF3CDE">
            <w:pPr>
              <w:pStyle w:val="BodyTextFirst"/>
              <w:spacing w:before="60" w:after="60"/>
              <w:ind w:left="0" w:right="72"/>
              <w:rPr>
                <w:sz w:val="22"/>
              </w:rPr>
            </w:pPr>
            <w:r>
              <w:rPr>
                <w:sz w:val="22"/>
              </w:rPr>
              <w:t>CO2:  NDIR (Non-Dispersive Infra-Red.)</w:t>
            </w:r>
          </w:p>
          <w:p w:rsidR="007C73BC" w:rsidRDefault="007C73BC" w:rsidP="00DF3CDE">
            <w:pPr>
              <w:pStyle w:val="BodyTextFirst"/>
              <w:spacing w:after="60"/>
              <w:ind w:left="0" w:right="72"/>
              <w:rPr>
                <w:sz w:val="22"/>
              </w:rPr>
            </w:pPr>
            <w:r>
              <w:rPr>
                <w:sz w:val="22"/>
              </w:rPr>
              <w:t>O2:  Electro Chemical Sensor</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Measuring Ranges:</w:t>
            </w:r>
          </w:p>
        </w:tc>
        <w:tc>
          <w:tcPr>
            <w:tcW w:w="6352" w:type="dxa"/>
          </w:tcPr>
          <w:p w:rsidR="007C73BC" w:rsidRDefault="007C73BC" w:rsidP="00DF3CDE">
            <w:pPr>
              <w:pStyle w:val="BodyText"/>
              <w:spacing w:before="60" w:after="60"/>
              <w:ind w:right="72"/>
              <w:rPr>
                <w:bCs/>
                <w:sz w:val="22"/>
              </w:rPr>
            </w:pPr>
            <w:r>
              <w:rPr>
                <w:bCs/>
                <w:sz w:val="22"/>
              </w:rPr>
              <w:t>CO2: 0.00-100.0%</w:t>
            </w:r>
          </w:p>
          <w:p w:rsidR="007C73BC" w:rsidRDefault="007C73BC" w:rsidP="00DF3CDE">
            <w:pPr>
              <w:pStyle w:val="BodyText"/>
              <w:spacing w:after="60"/>
              <w:ind w:right="72"/>
              <w:rPr>
                <w:bCs/>
                <w:sz w:val="22"/>
              </w:rPr>
            </w:pPr>
            <w:r>
              <w:rPr>
                <w:bCs/>
                <w:sz w:val="22"/>
              </w:rPr>
              <w:t>O2:    0.000-100.0%</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Resolution:</w:t>
            </w:r>
          </w:p>
        </w:tc>
        <w:tc>
          <w:tcPr>
            <w:tcW w:w="6352" w:type="dxa"/>
          </w:tcPr>
          <w:p w:rsidR="007C73BC" w:rsidRDefault="007C73BC" w:rsidP="00DF3CDE">
            <w:pPr>
              <w:pStyle w:val="BodyText"/>
              <w:spacing w:before="60" w:after="60"/>
              <w:ind w:right="72"/>
              <w:rPr>
                <w:bCs/>
                <w:sz w:val="22"/>
              </w:rPr>
            </w:pPr>
            <w:r>
              <w:rPr>
                <w:bCs/>
                <w:sz w:val="22"/>
              </w:rPr>
              <w:t>CO2: 0.01% Below 10.0%, 0.1% above 10.0%,</w:t>
            </w:r>
          </w:p>
          <w:p w:rsidR="007C73BC" w:rsidRDefault="007C73BC" w:rsidP="00DF3CDE">
            <w:pPr>
              <w:pStyle w:val="BodyText"/>
              <w:spacing w:after="60"/>
              <w:ind w:right="72"/>
              <w:rPr>
                <w:bCs/>
                <w:sz w:val="22"/>
              </w:rPr>
            </w:pPr>
            <w:r>
              <w:rPr>
                <w:bCs/>
                <w:sz w:val="22"/>
              </w:rPr>
              <w:t xml:space="preserve"> O2: 0.001% Below 10.00%, 00.01% above 10.00%</w:t>
            </w:r>
          </w:p>
        </w:tc>
      </w:tr>
      <w:tr w:rsidR="007C73BC" w:rsidTr="00DF3CDE">
        <w:tblPrEx>
          <w:tblCellMar>
            <w:top w:w="0" w:type="dxa"/>
            <w:bottom w:w="0" w:type="dxa"/>
          </w:tblCellMar>
        </w:tblPrEx>
        <w:trPr>
          <w:trHeight w:val="450"/>
          <w:jc w:val="center"/>
        </w:trPr>
        <w:tc>
          <w:tcPr>
            <w:tcW w:w="2785" w:type="dxa"/>
          </w:tcPr>
          <w:p w:rsidR="007C73BC" w:rsidRDefault="007C73BC" w:rsidP="00DF3CDE">
            <w:pPr>
              <w:pStyle w:val="BodyText"/>
              <w:spacing w:before="60" w:after="40"/>
              <w:rPr>
                <w:bCs/>
                <w:sz w:val="22"/>
              </w:rPr>
            </w:pPr>
            <w:r>
              <w:rPr>
                <w:bCs/>
                <w:sz w:val="22"/>
              </w:rPr>
              <w:t>Accuracy</w:t>
            </w:r>
          </w:p>
          <w:p w:rsidR="007C73BC" w:rsidRDefault="007C73BC" w:rsidP="00DF3CDE">
            <w:pPr>
              <w:pStyle w:val="BodyText"/>
              <w:spacing w:before="60" w:after="60"/>
              <w:rPr>
                <w:bCs/>
                <w:sz w:val="22"/>
              </w:rPr>
            </w:pPr>
            <w:r>
              <w:rPr>
                <w:bCs/>
                <w:sz w:val="22"/>
              </w:rPr>
              <w:t>Repeatability</w:t>
            </w:r>
          </w:p>
        </w:tc>
        <w:tc>
          <w:tcPr>
            <w:tcW w:w="6352" w:type="dxa"/>
          </w:tcPr>
          <w:p w:rsidR="007C73BC" w:rsidRDefault="007C73BC" w:rsidP="00DF3CDE">
            <w:pPr>
              <w:pStyle w:val="BodyText"/>
              <w:spacing w:before="60" w:after="60"/>
              <w:ind w:right="72"/>
              <w:rPr>
                <w:bCs/>
                <w:sz w:val="22"/>
              </w:rPr>
            </w:pPr>
            <w:r>
              <w:rPr>
                <w:bCs/>
                <w:sz w:val="22"/>
              </w:rPr>
              <w:t>5% relative to gas reading.</w:t>
            </w:r>
          </w:p>
          <w:p w:rsidR="007C73BC" w:rsidRDefault="007C73BC" w:rsidP="00DF3CDE">
            <w:pPr>
              <w:pStyle w:val="BodyText"/>
              <w:spacing w:after="60"/>
              <w:ind w:right="72"/>
              <w:rPr>
                <w:bCs/>
                <w:sz w:val="22"/>
              </w:rPr>
            </w:pPr>
            <w:r>
              <w:rPr>
                <w:bCs/>
                <w:sz w:val="22"/>
              </w:rPr>
              <w:t>1% relative to gas reading.</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Response time:</w:t>
            </w:r>
          </w:p>
        </w:tc>
        <w:tc>
          <w:tcPr>
            <w:tcW w:w="6352" w:type="dxa"/>
          </w:tcPr>
          <w:p w:rsidR="007C73BC" w:rsidRDefault="007C73BC" w:rsidP="00DF3CDE">
            <w:pPr>
              <w:pStyle w:val="BodyText"/>
              <w:spacing w:before="60" w:after="60"/>
              <w:ind w:right="72"/>
              <w:rPr>
                <w:bCs/>
                <w:sz w:val="22"/>
              </w:rPr>
            </w:pPr>
            <w:r>
              <w:rPr>
                <w:bCs/>
                <w:sz w:val="22"/>
              </w:rPr>
              <w:t xml:space="preserve">15 seconds to 95% Final </w:t>
            </w:r>
            <w:smartTag w:uri="urn:schemas-microsoft-com:office:smarttags" w:element="City">
              <w:smartTag w:uri="urn:schemas-microsoft-com:office:smarttags" w:element="place">
                <w:r>
                  <w:rPr>
                    <w:bCs/>
                    <w:sz w:val="22"/>
                  </w:rPr>
                  <w:t>Reading</w:t>
                </w:r>
              </w:smartTag>
            </w:smartTag>
            <w:r>
              <w:rPr>
                <w:bCs/>
                <w:sz w:val="22"/>
              </w:rPr>
              <w:t xml:space="preserve">, </w:t>
            </w:r>
          </w:p>
          <w:p w:rsidR="007C73BC" w:rsidRDefault="007C73BC" w:rsidP="00DF3CDE">
            <w:pPr>
              <w:pStyle w:val="BodyText"/>
              <w:spacing w:after="60"/>
              <w:ind w:right="72"/>
              <w:rPr>
                <w:bCs/>
                <w:sz w:val="22"/>
              </w:rPr>
            </w:pPr>
            <w:r>
              <w:rPr>
                <w:bCs/>
                <w:sz w:val="22"/>
              </w:rPr>
              <w:t xml:space="preserve">20 Seconds to 99% Final </w:t>
            </w:r>
            <w:smartTag w:uri="urn:schemas-microsoft-com:office:smarttags" w:element="City">
              <w:smartTag w:uri="urn:schemas-microsoft-com:office:smarttags" w:element="place">
                <w:r>
                  <w:rPr>
                    <w:bCs/>
                    <w:sz w:val="22"/>
                  </w:rPr>
                  <w:t>Reading</w:t>
                </w:r>
              </w:smartTag>
            </w:smartTag>
            <w:r>
              <w:rPr>
                <w:bCs/>
                <w:sz w:val="22"/>
              </w:rPr>
              <w:t>.</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Sampling Rate:</w:t>
            </w:r>
          </w:p>
        </w:tc>
        <w:tc>
          <w:tcPr>
            <w:tcW w:w="6352" w:type="dxa"/>
          </w:tcPr>
          <w:p w:rsidR="007C73BC" w:rsidRDefault="007C73BC" w:rsidP="00DF3CDE">
            <w:pPr>
              <w:pStyle w:val="BodyText"/>
              <w:spacing w:before="60" w:after="60"/>
              <w:ind w:right="72"/>
              <w:rPr>
                <w:bCs/>
                <w:sz w:val="22"/>
              </w:rPr>
            </w:pPr>
            <w:r>
              <w:rPr>
                <w:bCs/>
                <w:sz w:val="22"/>
              </w:rPr>
              <w:t>4 ml/sec</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Sample/Hold Time</w:t>
            </w:r>
          </w:p>
        </w:tc>
        <w:tc>
          <w:tcPr>
            <w:tcW w:w="6352" w:type="dxa"/>
          </w:tcPr>
          <w:p w:rsidR="007C73BC" w:rsidRDefault="007C73BC" w:rsidP="00DF3CDE">
            <w:pPr>
              <w:pStyle w:val="BodyText"/>
              <w:spacing w:before="60" w:after="60"/>
              <w:ind w:left="-6" w:right="72"/>
              <w:rPr>
                <w:bCs/>
                <w:sz w:val="22"/>
              </w:rPr>
            </w:pPr>
            <w:r>
              <w:rPr>
                <w:bCs/>
                <w:sz w:val="22"/>
              </w:rPr>
              <w:t>Factory default 20 Seconds.  Adjustable in 1 second increments.</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Internal Gas Contaminate Protection</w:t>
            </w:r>
          </w:p>
        </w:tc>
        <w:tc>
          <w:tcPr>
            <w:tcW w:w="6352" w:type="dxa"/>
          </w:tcPr>
          <w:p w:rsidR="007C73BC" w:rsidRDefault="007C73BC" w:rsidP="00DF3CDE">
            <w:pPr>
              <w:pStyle w:val="BodyText"/>
              <w:spacing w:before="60" w:after="60"/>
              <w:ind w:left="-6" w:right="72"/>
              <w:rPr>
                <w:bCs/>
                <w:sz w:val="22"/>
              </w:rPr>
            </w:pPr>
            <w:r>
              <w:rPr>
                <w:bCs/>
                <w:sz w:val="22"/>
              </w:rPr>
              <w:t>Internal water trap and water blocking / particle filter protects pneumatics and optical components from gas-borne contamination.</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Start-up</w:t>
            </w:r>
          </w:p>
          <w:p w:rsidR="007C73BC" w:rsidRDefault="007C73BC" w:rsidP="00DF3CDE">
            <w:pPr>
              <w:pStyle w:val="BodyText"/>
              <w:spacing w:after="60"/>
              <w:rPr>
                <w:bCs/>
                <w:sz w:val="22"/>
              </w:rPr>
            </w:pPr>
            <w:r>
              <w:rPr>
                <w:bCs/>
                <w:sz w:val="22"/>
              </w:rPr>
              <w:t>Warm-up:</w:t>
            </w:r>
          </w:p>
        </w:tc>
        <w:tc>
          <w:tcPr>
            <w:tcW w:w="6352" w:type="dxa"/>
          </w:tcPr>
          <w:p w:rsidR="007C73BC" w:rsidRDefault="007C73BC" w:rsidP="00DF3CDE">
            <w:pPr>
              <w:pStyle w:val="BodyText"/>
              <w:spacing w:before="60" w:after="60"/>
              <w:ind w:right="72"/>
              <w:rPr>
                <w:bCs/>
                <w:sz w:val="22"/>
              </w:rPr>
            </w:pPr>
            <w:r>
              <w:rPr>
                <w:bCs/>
                <w:sz w:val="22"/>
              </w:rPr>
              <w:t>10% Relative Gas Data 30 seconds from power up.</w:t>
            </w:r>
          </w:p>
          <w:p w:rsidR="007C73BC" w:rsidRDefault="007C73BC" w:rsidP="00DF3CDE">
            <w:pPr>
              <w:pStyle w:val="BodyText"/>
              <w:spacing w:after="60"/>
              <w:ind w:right="72"/>
              <w:rPr>
                <w:bCs/>
                <w:sz w:val="22"/>
              </w:rPr>
            </w:pPr>
            <w:r>
              <w:rPr>
                <w:bCs/>
                <w:sz w:val="22"/>
              </w:rPr>
              <w:t>Full accuracy in 5 minutes.</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after="60"/>
              <w:rPr>
                <w:bCs/>
                <w:sz w:val="22"/>
              </w:rPr>
            </w:pPr>
            <w:r>
              <w:rPr>
                <w:bCs/>
                <w:sz w:val="22"/>
              </w:rPr>
              <w:lastRenderedPageBreak/>
              <w:t>Operating Temperature:</w:t>
            </w:r>
          </w:p>
        </w:tc>
        <w:tc>
          <w:tcPr>
            <w:tcW w:w="6352" w:type="dxa"/>
          </w:tcPr>
          <w:p w:rsidR="007C73BC" w:rsidRDefault="007C73BC" w:rsidP="00DF3CDE">
            <w:pPr>
              <w:pStyle w:val="BodyText"/>
              <w:spacing w:before="60" w:after="60"/>
              <w:ind w:right="72"/>
              <w:rPr>
                <w:bCs/>
                <w:sz w:val="22"/>
              </w:rPr>
            </w:pPr>
            <w:r>
              <w:rPr>
                <w:bCs/>
                <w:sz w:val="22"/>
              </w:rPr>
              <w:t>0 to +40 degrees C.</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rPr>
                <w:bCs/>
                <w:sz w:val="22"/>
              </w:rPr>
            </w:pPr>
            <w:r>
              <w:rPr>
                <w:bCs/>
                <w:sz w:val="22"/>
              </w:rPr>
              <w:t>Power:            Line Power</w:t>
            </w:r>
          </w:p>
          <w:p w:rsidR="007C73BC" w:rsidRDefault="007C73BC" w:rsidP="00DF3CDE">
            <w:pPr>
              <w:pStyle w:val="BodyText"/>
              <w:spacing w:after="40"/>
              <w:jc w:val="right"/>
              <w:rPr>
                <w:bCs/>
                <w:sz w:val="22"/>
              </w:rPr>
            </w:pPr>
            <w:r>
              <w:rPr>
                <w:bCs/>
                <w:sz w:val="22"/>
              </w:rPr>
              <w:t xml:space="preserve">Internal </w:t>
            </w:r>
            <w:smartTag w:uri="urn:schemas-microsoft-com:office:smarttags" w:element="place">
              <w:r>
                <w:rPr>
                  <w:bCs/>
                  <w:sz w:val="22"/>
                </w:rPr>
                <w:t>Battery</w:t>
              </w:r>
            </w:smartTag>
          </w:p>
        </w:tc>
        <w:tc>
          <w:tcPr>
            <w:tcW w:w="6352" w:type="dxa"/>
          </w:tcPr>
          <w:p w:rsidR="007C73BC" w:rsidRDefault="007C73BC" w:rsidP="00DF3CDE">
            <w:pPr>
              <w:pStyle w:val="BodyText"/>
              <w:spacing w:before="60" w:after="60"/>
              <w:ind w:right="72"/>
              <w:rPr>
                <w:bCs/>
                <w:sz w:val="22"/>
              </w:rPr>
            </w:pPr>
            <w:r>
              <w:rPr>
                <w:bCs/>
                <w:sz w:val="22"/>
              </w:rPr>
              <w:t>110VAC / 220VAC (EURO) Wall Supply</w:t>
            </w:r>
          </w:p>
          <w:p w:rsidR="007C73BC" w:rsidRDefault="007C73BC" w:rsidP="00DF3CDE">
            <w:pPr>
              <w:pStyle w:val="BodyText"/>
              <w:spacing w:after="60"/>
              <w:ind w:right="72"/>
              <w:rPr>
                <w:bCs/>
                <w:sz w:val="22"/>
              </w:rPr>
            </w:pPr>
            <w:r>
              <w:rPr>
                <w:bCs/>
                <w:sz w:val="22"/>
              </w:rPr>
              <w:t>NiMH battery pack, 6-8 hours operation per charge.</w:t>
            </w:r>
          </w:p>
        </w:tc>
      </w:tr>
      <w:tr w:rsidR="007C73BC" w:rsidTr="00DF3CDE">
        <w:tblPrEx>
          <w:tblCellMar>
            <w:top w:w="0" w:type="dxa"/>
            <w:bottom w:w="0" w:type="dxa"/>
          </w:tblCellMar>
        </w:tblPrEx>
        <w:trPr>
          <w:jc w:val="center"/>
        </w:trPr>
        <w:tc>
          <w:tcPr>
            <w:tcW w:w="2785" w:type="dxa"/>
          </w:tcPr>
          <w:p w:rsidR="007C73BC" w:rsidRDefault="007C73BC" w:rsidP="00DF3CDE">
            <w:pPr>
              <w:pStyle w:val="BodyText"/>
              <w:spacing w:before="60" w:after="60"/>
              <w:rPr>
                <w:bCs/>
                <w:sz w:val="22"/>
              </w:rPr>
            </w:pPr>
            <w:smartTag w:uri="urn:schemas-microsoft-com:office:smarttags" w:element="place">
              <w:r>
                <w:rPr>
                  <w:bCs/>
                  <w:sz w:val="22"/>
                </w:rPr>
                <w:t>Battery</w:t>
              </w:r>
            </w:smartTag>
            <w:r>
              <w:rPr>
                <w:bCs/>
                <w:sz w:val="22"/>
              </w:rPr>
              <w:t xml:space="preserve"> Charger/ External Supply:</w:t>
            </w:r>
          </w:p>
        </w:tc>
        <w:tc>
          <w:tcPr>
            <w:tcW w:w="6352" w:type="dxa"/>
          </w:tcPr>
          <w:p w:rsidR="007C73BC" w:rsidRDefault="007C73BC" w:rsidP="00DF3CDE">
            <w:pPr>
              <w:pStyle w:val="BodyText"/>
              <w:spacing w:before="60" w:after="60"/>
              <w:ind w:left="-6" w:right="72"/>
              <w:rPr>
                <w:bCs/>
                <w:sz w:val="22"/>
              </w:rPr>
            </w:pPr>
            <w:r>
              <w:rPr>
                <w:bCs/>
                <w:sz w:val="22"/>
              </w:rPr>
              <w:t>110 to 220 VAC 50/60 Hz Standard</w:t>
            </w:r>
          </w:p>
        </w:tc>
      </w:tr>
      <w:tr w:rsidR="007C73BC" w:rsidTr="00DF3CDE">
        <w:tblPrEx>
          <w:tblCellMar>
            <w:top w:w="0" w:type="dxa"/>
            <w:bottom w:w="0" w:type="dxa"/>
          </w:tblCellMar>
        </w:tblPrEx>
        <w:trPr>
          <w:trHeight w:val="540"/>
          <w:jc w:val="center"/>
        </w:trPr>
        <w:tc>
          <w:tcPr>
            <w:tcW w:w="2785" w:type="dxa"/>
          </w:tcPr>
          <w:p w:rsidR="007C73BC" w:rsidRDefault="007C73BC" w:rsidP="00DF3CDE">
            <w:pPr>
              <w:pStyle w:val="BodyText"/>
              <w:tabs>
                <w:tab w:val="right" w:pos="2458"/>
              </w:tabs>
              <w:spacing w:before="60" w:after="60"/>
              <w:rPr>
                <w:bCs/>
                <w:sz w:val="22"/>
              </w:rPr>
            </w:pPr>
            <w:r>
              <w:rPr>
                <w:bCs/>
                <w:sz w:val="22"/>
              </w:rPr>
              <w:t>Weight:</w:t>
            </w:r>
            <w:r>
              <w:rPr>
                <w:bCs/>
                <w:sz w:val="22"/>
              </w:rPr>
              <w:tab/>
              <w:t>Unit Alone</w:t>
            </w:r>
            <w:r>
              <w:rPr>
                <w:bCs/>
                <w:sz w:val="22"/>
              </w:rPr>
              <w:br/>
            </w:r>
            <w:r>
              <w:rPr>
                <w:bCs/>
                <w:sz w:val="22"/>
              </w:rPr>
              <w:tab/>
              <w:t>In Soft Case</w:t>
            </w:r>
          </w:p>
        </w:tc>
        <w:tc>
          <w:tcPr>
            <w:tcW w:w="6352" w:type="dxa"/>
          </w:tcPr>
          <w:p w:rsidR="007C73BC" w:rsidRDefault="007C73BC" w:rsidP="00DF3CDE">
            <w:pPr>
              <w:pStyle w:val="BodyText"/>
              <w:spacing w:before="60" w:after="60"/>
              <w:ind w:right="72"/>
              <w:rPr>
                <w:bCs/>
                <w:sz w:val="22"/>
              </w:rPr>
            </w:pPr>
            <w:r>
              <w:rPr>
                <w:bCs/>
                <w:sz w:val="22"/>
              </w:rPr>
              <w:t>2.5 Lbs.</w:t>
            </w:r>
          </w:p>
          <w:p w:rsidR="007C73BC" w:rsidRDefault="007C73BC" w:rsidP="00DF3CDE">
            <w:pPr>
              <w:pStyle w:val="BodyText"/>
              <w:spacing w:after="60"/>
              <w:ind w:right="72"/>
              <w:rPr>
                <w:bCs/>
                <w:sz w:val="22"/>
              </w:rPr>
            </w:pPr>
            <w:r>
              <w:rPr>
                <w:bCs/>
                <w:sz w:val="22"/>
              </w:rPr>
              <w:t>3.5 Lbs.</w:t>
            </w:r>
          </w:p>
        </w:tc>
      </w:tr>
      <w:tr w:rsidR="007C73BC" w:rsidTr="00DF3CDE">
        <w:tblPrEx>
          <w:tblCellMar>
            <w:top w:w="0" w:type="dxa"/>
            <w:bottom w:w="0" w:type="dxa"/>
          </w:tblCellMar>
        </w:tblPrEx>
        <w:trPr>
          <w:jc w:val="center"/>
        </w:trPr>
        <w:tc>
          <w:tcPr>
            <w:tcW w:w="2785" w:type="dxa"/>
          </w:tcPr>
          <w:p w:rsidR="007C73BC" w:rsidRDefault="007C73BC" w:rsidP="00DF3CDE">
            <w:pPr>
              <w:pStyle w:val="BodyText"/>
              <w:tabs>
                <w:tab w:val="right" w:pos="2458"/>
              </w:tabs>
              <w:spacing w:before="60" w:after="60"/>
              <w:rPr>
                <w:bCs/>
                <w:sz w:val="22"/>
              </w:rPr>
            </w:pPr>
            <w:r>
              <w:rPr>
                <w:bCs/>
                <w:sz w:val="22"/>
              </w:rPr>
              <w:t>Size:</w:t>
            </w:r>
            <w:r>
              <w:rPr>
                <w:bCs/>
                <w:sz w:val="22"/>
              </w:rPr>
              <w:tab/>
              <w:t>Unit Alone</w:t>
            </w:r>
            <w:r>
              <w:rPr>
                <w:bCs/>
                <w:sz w:val="22"/>
              </w:rPr>
              <w:br/>
            </w:r>
            <w:r>
              <w:rPr>
                <w:bCs/>
                <w:sz w:val="22"/>
              </w:rPr>
              <w:tab/>
              <w:t>In Soft Case</w:t>
            </w:r>
          </w:p>
        </w:tc>
        <w:tc>
          <w:tcPr>
            <w:tcW w:w="6352" w:type="dxa"/>
          </w:tcPr>
          <w:p w:rsidR="007C73BC" w:rsidRDefault="007C73BC" w:rsidP="00DF3CDE">
            <w:pPr>
              <w:pStyle w:val="BodyText"/>
              <w:spacing w:before="60" w:after="60"/>
              <w:ind w:left="-6" w:right="72"/>
              <w:rPr>
                <w:bCs/>
                <w:sz w:val="22"/>
              </w:rPr>
            </w:pPr>
            <w:r>
              <w:rPr>
                <w:bCs/>
                <w:sz w:val="22"/>
              </w:rPr>
              <w:t>6 ¼ L x 3W x 3 ½H</w:t>
            </w:r>
          </w:p>
          <w:p w:rsidR="007C73BC" w:rsidRDefault="007C73BC" w:rsidP="00DF3CDE">
            <w:pPr>
              <w:pStyle w:val="BodyText"/>
              <w:spacing w:after="60"/>
              <w:ind w:right="72"/>
              <w:rPr>
                <w:bCs/>
                <w:sz w:val="22"/>
              </w:rPr>
            </w:pPr>
            <w:r>
              <w:rPr>
                <w:bCs/>
                <w:sz w:val="22"/>
              </w:rPr>
              <w:t>8 ½L x 5W x 5H</w:t>
            </w:r>
          </w:p>
        </w:tc>
      </w:tr>
      <w:tr w:rsidR="007C73BC" w:rsidTr="00DF3CDE">
        <w:tblPrEx>
          <w:tblCellMar>
            <w:top w:w="0" w:type="dxa"/>
            <w:bottom w:w="0" w:type="dxa"/>
          </w:tblCellMar>
        </w:tblPrEx>
        <w:trPr>
          <w:trHeight w:val="261"/>
          <w:jc w:val="center"/>
        </w:trPr>
        <w:tc>
          <w:tcPr>
            <w:tcW w:w="2785" w:type="dxa"/>
          </w:tcPr>
          <w:p w:rsidR="007C73BC" w:rsidRDefault="007C73BC" w:rsidP="00DF3CDE">
            <w:pPr>
              <w:pStyle w:val="BodyText"/>
              <w:spacing w:before="60"/>
              <w:rPr>
                <w:bCs/>
                <w:sz w:val="22"/>
              </w:rPr>
            </w:pPr>
            <w:r>
              <w:rPr>
                <w:bCs/>
                <w:sz w:val="22"/>
              </w:rPr>
              <w:t>PC Interface:</w:t>
            </w:r>
          </w:p>
        </w:tc>
        <w:tc>
          <w:tcPr>
            <w:tcW w:w="6352" w:type="dxa"/>
          </w:tcPr>
          <w:p w:rsidR="007C73BC" w:rsidRDefault="007C73BC" w:rsidP="00DF3CDE">
            <w:pPr>
              <w:pStyle w:val="BodyText"/>
              <w:spacing w:before="60" w:after="60"/>
              <w:ind w:left="-6" w:right="72"/>
              <w:rPr>
                <w:bCs/>
                <w:sz w:val="22"/>
              </w:rPr>
            </w:pPr>
            <w:r>
              <w:rPr>
                <w:bCs/>
                <w:sz w:val="22"/>
              </w:rPr>
              <w:t xml:space="preserve">Fully </w:t>
            </w:r>
            <w:smartTag w:uri="urn:schemas-microsoft-com:office:smarttags" w:element="place">
              <w:smartTag w:uri="urn:schemas-microsoft-com:office:smarttags" w:element="PlaceName">
                <w:r>
                  <w:rPr>
                    <w:bCs/>
                    <w:sz w:val="22"/>
                  </w:rPr>
                  <w:t>Sealed</w:t>
                </w:r>
              </w:smartTag>
              <w:r>
                <w:rPr>
                  <w:bCs/>
                  <w:sz w:val="22"/>
                </w:rPr>
                <w:t xml:space="preserve"> </w:t>
              </w:r>
              <w:smartTag w:uri="urn:schemas-microsoft-com:office:smarttags" w:element="PlaceName">
                <w:r>
                  <w:rPr>
                    <w:bCs/>
                    <w:sz w:val="22"/>
                  </w:rPr>
                  <w:t>Serial</w:t>
                </w:r>
              </w:smartTag>
              <w:r>
                <w:rPr>
                  <w:bCs/>
                  <w:sz w:val="22"/>
                </w:rPr>
                <w:t xml:space="preserve"> </w:t>
              </w:r>
              <w:smartTag w:uri="urn:schemas-microsoft-com:office:smarttags" w:element="PlaceType">
                <w:r>
                  <w:rPr>
                    <w:bCs/>
                    <w:sz w:val="22"/>
                  </w:rPr>
                  <w:t>Port</w:t>
                </w:r>
              </w:smartTag>
            </w:smartTag>
            <w:r>
              <w:rPr>
                <w:bCs/>
                <w:sz w:val="22"/>
              </w:rPr>
              <w:t xml:space="preserve">, 9600 baud. </w:t>
            </w:r>
          </w:p>
        </w:tc>
      </w:tr>
    </w:tbl>
    <w:p w:rsidR="007C73BC" w:rsidRDefault="007C73BC" w:rsidP="007C73BC">
      <w:pPr>
        <w:pStyle w:val="Header"/>
        <w:spacing w:before="120" w:after="60"/>
        <w:rPr>
          <w:b/>
          <w:u w:val="single"/>
        </w:rPr>
      </w:pPr>
      <w:r>
        <w:rPr>
          <w:b/>
          <w:u w:val="single"/>
        </w:rPr>
        <w:t>CAT Analyzer accessory products:</w:t>
      </w:r>
    </w:p>
    <w:p w:rsidR="007C73BC" w:rsidRDefault="007C73BC" w:rsidP="007C73BC">
      <w:pPr>
        <w:pStyle w:val="Header"/>
        <w:spacing w:after="60"/>
        <w:ind w:left="360"/>
        <w:rPr>
          <w:b/>
          <w:u w:val="single"/>
        </w:rPr>
      </w:pPr>
      <w:r>
        <w:rPr>
          <w:b/>
          <w:u w:val="single"/>
        </w:rPr>
        <w:t>P/N 108126 – 25 mm Dia Filter 6-Pack:</w:t>
      </w:r>
    </w:p>
    <w:p w:rsidR="007C73BC" w:rsidRDefault="007C73BC" w:rsidP="007C73BC">
      <w:pPr>
        <w:pStyle w:val="Header"/>
        <w:spacing w:after="60"/>
        <w:ind w:left="360"/>
      </w:pPr>
      <w:r>
        <w:t>This 6-pack of sample filters should last for 12 months of typical use.  They are installed at the end of the sample line just before the analyzer input and prevent contaminants from entering the analyzer.</w:t>
      </w:r>
    </w:p>
    <w:p w:rsidR="007C73BC" w:rsidRDefault="007C73BC" w:rsidP="007C73BC">
      <w:pPr>
        <w:pStyle w:val="Header"/>
        <w:spacing w:before="40" w:after="40"/>
        <w:ind w:left="360"/>
        <w:rPr>
          <w:b/>
          <w:u w:val="single"/>
        </w:rPr>
      </w:pPr>
      <w:r>
        <w:rPr>
          <w:b/>
          <w:u w:val="single"/>
        </w:rPr>
        <w:t>P/N 001140 – Oxygen Sensor:</w:t>
      </w:r>
    </w:p>
    <w:p w:rsidR="007C73BC" w:rsidRDefault="007C73BC" w:rsidP="007C73BC">
      <w:pPr>
        <w:pStyle w:val="Header"/>
        <w:spacing w:after="60"/>
        <w:ind w:left="360"/>
      </w:pPr>
      <w:r>
        <w:t xml:space="preserve">This is a user replaceable item – and has a useful life of 12 to 18 months.  </w:t>
      </w:r>
    </w:p>
    <w:p w:rsidR="00715F3F" w:rsidRDefault="00715F3F"/>
    <w:p w:rsidR="00715F3F" w:rsidRPr="00715F3F" w:rsidRDefault="00715F3F" w:rsidP="00715F3F"/>
    <w:p w:rsidR="00715F3F" w:rsidRPr="00715F3F" w:rsidRDefault="00715F3F" w:rsidP="00715F3F"/>
    <w:p w:rsidR="00715F3F" w:rsidRPr="00715F3F" w:rsidRDefault="00715F3F" w:rsidP="00715F3F"/>
    <w:p w:rsidR="00715F3F" w:rsidRPr="00715F3F" w:rsidRDefault="00715F3F" w:rsidP="00715F3F"/>
    <w:p w:rsidR="00715F3F" w:rsidRDefault="00715F3F" w:rsidP="00715F3F"/>
    <w:p w:rsidR="00AF0174" w:rsidRPr="00715F3F" w:rsidRDefault="00AF0174" w:rsidP="00715F3F">
      <w:pPr>
        <w:jc w:val="center"/>
      </w:pPr>
    </w:p>
    <w:sectPr w:rsidR="00AF0174" w:rsidRPr="00715F3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DE" w:rsidRDefault="00DF3CDE">
      <w:r>
        <w:separator/>
      </w:r>
    </w:p>
  </w:endnote>
  <w:endnote w:type="continuationSeparator" w:id="0">
    <w:p w:rsidR="00DF3CDE" w:rsidRDefault="00DF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7F2" w:rsidRDefault="00715F3F" w:rsidP="001147F2">
    <w:pPr>
      <w:rPr>
        <w:b/>
        <w:color w:val="000000"/>
      </w:rPr>
    </w:pPr>
    <w:r w:rsidRPr="0094600E">
      <w:rPr>
        <w:b/>
        <w:color w:val="000000"/>
      </w:rPr>
      <w:t>Bridge Analyzers, Inc.</w:t>
    </w:r>
    <w:r w:rsidR="001147F2">
      <w:rPr>
        <w:b/>
        <w:color w:val="000000"/>
      </w:rPr>
      <w:tab/>
    </w:r>
    <w:r w:rsidR="001147F2">
      <w:rPr>
        <w:b/>
        <w:color w:val="000000"/>
      </w:rPr>
      <w:tab/>
    </w:r>
    <w:r w:rsidR="001147F2">
      <w:rPr>
        <w:b/>
        <w:color w:val="000000"/>
      </w:rPr>
      <w:tab/>
    </w:r>
    <w:r w:rsidR="001147F2">
      <w:rPr>
        <w:b/>
        <w:color w:val="000000"/>
      </w:rPr>
      <w:tab/>
    </w:r>
    <w:r w:rsidR="001147F2">
      <w:rPr>
        <w:b/>
        <w:color w:val="000000"/>
      </w:rPr>
      <w:tab/>
    </w:r>
    <w:r w:rsidR="00F724CD">
      <w:rPr>
        <w:b/>
        <w:color w:val="000000"/>
      </w:rPr>
      <w:tab/>
      <w:t xml:space="preserve">    Tel (510) 337-1605</w:t>
    </w:r>
  </w:p>
  <w:p w:rsidR="001147F2" w:rsidRDefault="00F724CD" w:rsidP="001147F2">
    <w:pPr>
      <w:rPr>
        <w:b/>
        <w:color w:val="000000"/>
      </w:rPr>
    </w:pPr>
    <w:r>
      <w:rPr>
        <w:b/>
        <w:color w:val="000000"/>
      </w:rPr>
      <w:t>5198 Richmond Road</w:t>
    </w:r>
    <w:r w:rsidR="00715F3F" w:rsidRPr="0094600E">
      <w:rPr>
        <w:b/>
        <w:color w:val="000000"/>
      </w:rPr>
      <w:tab/>
    </w:r>
    <w:r w:rsidR="001147F2">
      <w:rPr>
        <w:b/>
        <w:color w:val="000000"/>
      </w:rPr>
      <w:tab/>
    </w:r>
    <w:r w:rsidR="001147F2">
      <w:rPr>
        <w:b/>
        <w:color w:val="000000"/>
      </w:rPr>
      <w:tab/>
    </w:r>
    <w:r w:rsidR="001147F2">
      <w:rPr>
        <w:b/>
        <w:color w:val="000000"/>
      </w:rPr>
      <w:tab/>
    </w:r>
    <w:r w:rsidR="001147F2">
      <w:rPr>
        <w:b/>
        <w:color w:val="000000"/>
      </w:rPr>
      <w:tab/>
    </w:r>
    <w:r w:rsidR="001147F2">
      <w:rPr>
        <w:b/>
        <w:color w:val="000000"/>
      </w:rPr>
      <w:tab/>
    </w:r>
    <w:r>
      <w:rPr>
        <w:b/>
        <w:color w:val="000000"/>
      </w:rPr>
      <w:t xml:space="preserve">   Fax (216) 274-9262</w:t>
    </w:r>
  </w:p>
  <w:p w:rsidR="001147F2" w:rsidRDefault="00F724CD" w:rsidP="00F724CD">
    <w:pPr>
      <w:rPr>
        <w:b/>
        <w:color w:val="000000"/>
      </w:rPr>
    </w:pPr>
    <w:r>
      <w:rPr>
        <w:b/>
        <w:color w:val="000000"/>
      </w:rPr>
      <w:t>Bedford Heights, OH 44146</w:t>
    </w:r>
    <w:r w:rsidR="001147F2">
      <w:rPr>
        <w:b/>
        <w:color w:val="000000"/>
      </w:rPr>
      <w:tab/>
    </w:r>
    <w:r w:rsidR="001147F2">
      <w:rPr>
        <w:b/>
        <w:color w:val="000000"/>
      </w:rPr>
      <w:tab/>
    </w:r>
    <w:r w:rsidR="001147F2">
      <w:rPr>
        <w:b/>
        <w:color w:val="000000"/>
      </w:rPr>
      <w:tab/>
    </w:r>
    <w:r w:rsidR="001147F2">
      <w:rPr>
        <w:b/>
        <w:color w:val="000000"/>
      </w:rPr>
      <w:tab/>
    </w:r>
    <w:r w:rsidR="001147F2">
      <w:rPr>
        <w:b/>
        <w:color w:val="000000"/>
      </w:rPr>
      <w:tab/>
      <w:t>sales@bridgeanalyzers.com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DE" w:rsidRDefault="00DF3CDE">
      <w:r>
        <w:separator/>
      </w:r>
    </w:p>
  </w:footnote>
  <w:footnote w:type="continuationSeparator" w:id="0">
    <w:p w:rsidR="00DF3CDE" w:rsidRDefault="00DF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07" w:rsidRDefault="00F724CD" w:rsidP="00557507">
    <w:pPr>
      <w:pStyle w:val="Heading1"/>
      <w:spacing w:after="0"/>
      <w:ind w:left="0" w:right="-180"/>
      <w:jc w:val="right"/>
    </w:pPr>
    <w:r>
      <w:rPr>
        <w:noProof/>
      </w:rPr>
      <w:drawing>
        <wp:anchor distT="0" distB="0" distL="114300" distR="114300" simplePos="0" relativeHeight="251659264" behindDoc="0" locked="0" layoutInCell="1" allowOverlap="1">
          <wp:simplePos x="0" y="0"/>
          <wp:positionH relativeFrom="column">
            <wp:posOffset>-641985</wp:posOffset>
          </wp:positionH>
          <wp:positionV relativeFrom="paragraph">
            <wp:posOffset>-347980</wp:posOffset>
          </wp:positionV>
          <wp:extent cx="645795" cy="1199515"/>
          <wp:effectExtent l="0" t="0" r="1905" b="635"/>
          <wp:wrapNone/>
          <wp:docPr id="2" name="Picture 2" descr="C:\Users\rvince\Desktop\Bridge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vince\Desktop\Bridge_Logo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507" w:rsidRDefault="00557507" w:rsidP="00557507">
    <w:pPr>
      <w:pStyle w:val="Heading1"/>
      <w:spacing w:after="0"/>
      <w:ind w:left="0" w:right="-727"/>
      <w:jc w:val="right"/>
    </w:pPr>
  </w:p>
  <w:p w:rsidR="00715F3F" w:rsidRDefault="00715F3F" w:rsidP="00715F3F">
    <w:pPr>
      <w:pStyle w:val="Heading1"/>
      <w:spacing w:after="0"/>
      <w:ind w:left="0" w:right="-180"/>
      <w:jc w:val="right"/>
      <w:rPr>
        <w:b w:val="0"/>
      </w:rPr>
    </w:pPr>
  </w:p>
  <w:p w:rsidR="00715F3F" w:rsidRPr="00F724CD" w:rsidRDefault="00F724CD" w:rsidP="00715F3F">
    <w:pPr>
      <w:pStyle w:val="Heading1"/>
      <w:spacing w:after="0"/>
      <w:ind w:left="0" w:right="-180"/>
      <w:jc w:val="right"/>
      <w:rPr>
        <w:rFonts w:asciiTheme="minorHAnsi" w:hAnsiTheme="minorHAnsi"/>
        <w:b w:val="0"/>
        <w:sz w:val="16"/>
        <w:szCs w:val="16"/>
      </w:rPr>
    </w:pPr>
    <w:r w:rsidRPr="00F724CD">
      <w:rPr>
        <w:rFonts w:asciiTheme="minorHAnsi" w:hAnsiTheme="minorHAnsi"/>
        <w:b w:val="0"/>
        <w:sz w:val="16"/>
        <w:szCs w:val="16"/>
      </w:rPr>
      <w:t>30-06-2016</w:t>
    </w:r>
  </w:p>
  <w:p w:rsidR="00715F3F" w:rsidRPr="00F724CD" w:rsidRDefault="00715F3F" w:rsidP="00715F3F">
    <w:pPr>
      <w:pStyle w:val="BodyTex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2A"/>
    <w:rsid w:val="0001590F"/>
    <w:rsid w:val="0002505E"/>
    <w:rsid w:val="000570A5"/>
    <w:rsid w:val="000613C0"/>
    <w:rsid w:val="00086B15"/>
    <w:rsid w:val="000941E6"/>
    <w:rsid w:val="00095EB0"/>
    <w:rsid w:val="000D1074"/>
    <w:rsid w:val="000D40F3"/>
    <w:rsid w:val="000E40B6"/>
    <w:rsid w:val="000E70AB"/>
    <w:rsid w:val="001003F3"/>
    <w:rsid w:val="001147F2"/>
    <w:rsid w:val="00145D85"/>
    <w:rsid w:val="00152598"/>
    <w:rsid w:val="001716DB"/>
    <w:rsid w:val="001719DB"/>
    <w:rsid w:val="00181DC9"/>
    <w:rsid w:val="00192326"/>
    <w:rsid w:val="001979FC"/>
    <w:rsid w:val="001A14AE"/>
    <w:rsid w:val="001A234E"/>
    <w:rsid w:val="001C2A3A"/>
    <w:rsid w:val="001C65B1"/>
    <w:rsid w:val="001D0A9D"/>
    <w:rsid w:val="001E0E43"/>
    <w:rsid w:val="001E29DC"/>
    <w:rsid w:val="001E484A"/>
    <w:rsid w:val="001F3037"/>
    <w:rsid w:val="001F4B51"/>
    <w:rsid w:val="00205D5B"/>
    <w:rsid w:val="002134F1"/>
    <w:rsid w:val="00227D7F"/>
    <w:rsid w:val="00262BB9"/>
    <w:rsid w:val="00265C21"/>
    <w:rsid w:val="002713FC"/>
    <w:rsid w:val="00281E64"/>
    <w:rsid w:val="002B11F1"/>
    <w:rsid w:val="002B3F9B"/>
    <w:rsid w:val="002B730E"/>
    <w:rsid w:val="002B74DC"/>
    <w:rsid w:val="002C79EE"/>
    <w:rsid w:val="002E0BBB"/>
    <w:rsid w:val="002F3C71"/>
    <w:rsid w:val="00302E7B"/>
    <w:rsid w:val="00303525"/>
    <w:rsid w:val="003051DE"/>
    <w:rsid w:val="0031234F"/>
    <w:rsid w:val="00342F06"/>
    <w:rsid w:val="00353982"/>
    <w:rsid w:val="00361978"/>
    <w:rsid w:val="00387D33"/>
    <w:rsid w:val="00395ADF"/>
    <w:rsid w:val="003C1DB6"/>
    <w:rsid w:val="003D4D2A"/>
    <w:rsid w:val="003E4E85"/>
    <w:rsid w:val="003E58C4"/>
    <w:rsid w:val="003F28FF"/>
    <w:rsid w:val="00403F55"/>
    <w:rsid w:val="00406819"/>
    <w:rsid w:val="004175E5"/>
    <w:rsid w:val="0043053E"/>
    <w:rsid w:val="00444B55"/>
    <w:rsid w:val="004510CE"/>
    <w:rsid w:val="00492C41"/>
    <w:rsid w:val="00493B2B"/>
    <w:rsid w:val="00495382"/>
    <w:rsid w:val="004A3FA5"/>
    <w:rsid w:val="004A553E"/>
    <w:rsid w:val="004B4486"/>
    <w:rsid w:val="004C01B7"/>
    <w:rsid w:val="004C1086"/>
    <w:rsid w:val="004C307B"/>
    <w:rsid w:val="004C42A0"/>
    <w:rsid w:val="004D1870"/>
    <w:rsid w:val="004E652A"/>
    <w:rsid w:val="004E6C43"/>
    <w:rsid w:val="004F055A"/>
    <w:rsid w:val="004F69AB"/>
    <w:rsid w:val="00507260"/>
    <w:rsid w:val="005124F2"/>
    <w:rsid w:val="0051599B"/>
    <w:rsid w:val="005259EC"/>
    <w:rsid w:val="005316CE"/>
    <w:rsid w:val="0053256F"/>
    <w:rsid w:val="00532C2C"/>
    <w:rsid w:val="0053757B"/>
    <w:rsid w:val="0054789B"/>
    <w:rsid w:val="00557507"/>
    <w:rsid w:val="0056453F"/>
    <w:rsid w:val="00567ACF"/>
    <w:rsid w:val="005961E1"/>
    <w:rsid w:val="00597B11"/>
    <w:rsid w:val="005A0C9C"/>
    <w:rsid w:val="005A1884"/>
    <w:rsid w:val="005B76D2"/>
    <w:rsid w:val="005C4CCA"/>
    <w:rsid w:val="005D07A7"/>
    <w:rsid w:val="005D7523"/>
    <w:rsid w:val="005E691B"/>
    <w:rsid w:val="005F24A9"/>
    <w:rsid w:val="00621B49"/>
    <w:rsid w:val="00634EB7"/>
    <w:rsid w:val="00640621"/>
    <w:rsid w:val="00645E50"/>
    <w:rsid w:val="006507B5"/>
    <w:rsid w:val="006540C8"/>
    <w:rsid w:val="00656168"/>
    <w:rsid w:val="006773DB"/>
    <w:rsid w:val="006775A7"/>
    <w:rsid w:val="006858DE"/>
    <w:rsid w:val="006902AE"/>
    <w:rsid w:val="00693E49"/>
    <w:rsid w:val="006A6511"/>
    <w:rsid w:val="006C5E34"/>
    <w:rsid w:val="006D637B"/>
    <w:rsid w:val="006D6EBC"/>
    <w:rsid w:val="006E42C3"/>
    <w:rsid w:val="006F27DD"/>
    <w:rsid w:val="00712ED9"/>
    <w:rsid w:val="00715F3F"/>
    <w:rsid w:val="0072224D"/>
    <w:rsid w:val="00724F9F"/>
    <w:rsid w:val="00736BA7"/>
    <w:rsid w:val="007564B4"/>
    <w:rsid w:val="007624A2"/>
    <w:rsid w:val="0076481D"/>
    <w:rsid w:val="00767B80"/>
    <w:rsid w:val="00782934"/>
    <w:rsid w:val="00787F4D"/>
    <w:rsid w:val="00795E99"/>
    <w:rsid w:val="007B01E2"/>
    <w:rsid w:val="007B0538"/>
    <w:rsid w:val="007C73BC"/>
    <w:rsid w:val="008072BB"/>
    <w:rsid w:val="008211C4"/>
    <w:rsid w:val="00822A48"/>
    <w:rsid w:val="00825CD2"/>
    <w:rsid w:val="00833B0C"/>
    <w:rsid w:val="00834E52"/>
    <w:rsid w:val="0083680F"/>
    <w:rsid w:val="00842E45"/>
    <w:rsid w:val="008434DE"/>
    <w:rsid w:val="00855BE3"/>
    <w:rsid w:val="00894B0B"/>
    <w:rsid w:val="008A2A55"/>
    <w:rsid w:val="008B7DD8"/>
    <w:rsid w:val="008C33AE"/>
    <w:rsid w:val="008E16A3"/>
    <w:rsid w:val="008E2815"/>
    <w:rsid w:val="008E5F81"/>
    <w:rsid w:val="008E670A"/>
    <w:rsid w:val="009008B7"/>
    <w:rsid w:val="009142A4"/>
    <w:rsid w:val="00917784"/>
    <w:rsid w:val="0092706E"/>
    <w:rsid w:val="0094600E"/>
    <w:rsid w:val="00974EED"/>
    <w:rsid w:val="009755DC"/>
    <w:rsid w:val="0099331C"/>
    <w:rsid w:val="009B7BBA"/>
    <w:rsid w:val="009F0A11"/>
    <w:rsid w:val="009F6B70"/>
    <w:rsid w:val="00A31DF0"/>
    <w:rsid w:val="00A75BA9"/>
    <w:rsid w:val="00A845FC"/>
    <w:rsid w:val="00A852B6"/>
    <w:rsid w:val="00A9640D"/>
    <w:rsid w:val="00AA4BBA"/>
    <w:rsid w:val="00AF0174"/>
    <w:rsid w:val="00AF311B"/>
    <w:rsid w:val="00B02395"/>
    <w:rsid w:val="00B156A4"/>
    <w:rsid w:val="00B222ED"/>
    <w:rsid w:val="00B257B9"/>
    <w:rsid w:val="00B63F08"/>
    <w:rsid w:val="00B81022"/>
    <w:rsid w:val="00BA00DC"/>
    <w:rsid w:val="00BA25BB"/>
    <w:rsid w:val="00BB2F79"/>
    <w:rsid w:val="00BB5742"/>
    <w:rsid w:val="00BE178C"/>
    <w:rsid w:val="00BF1F3E"/>
    <w:rsid w:val="00BF4744"/>
    <w:rsid w:val="00C010B2"/>
    <w:rsid w:val="00C03AAE"/>
    <w:rsid w:val="00C04402"/>
    <w:rsid w:val="00C0736E"/>
    <w:rsid w:val="00C138C4"/>
    <w:rsid w:val="00C15CBB"/>
    <w:rsid w:val="00C22290"/>
    <w:rsid w:val="00C335D7"/>
    <w:rsid w:val="00C41384"/>
    <w:rsid w:val="00C522CE"/>
    <w:rsid w:val="00C7748D"/>
    <w:rsid w:val="00C81C43"/>
    <w:rsid w:val="00CA1AA5"/>
    <w:rsid w:val="00CB1E80"/>
    <w:rsid w:val="00CB6387"/>
    <w:rsid w:val="00CC302F"/>
    <w:rsid w:val="00CC3399"/>
    <w:rsid w:val="00CC34A9"/>
    <w:rsid w:val="00CD4C7E"/>
    <w:rsid w:val="00CD77C8"/>
    <w:rsid w:val="00CE377B"/>
    <w:rsid w:val="00CF0BCB"/>
    <w:rsid w:val="00CF4BF0"/>
    <w:rsid w:val="00D135F5"/>
    <w:rsid w:val="00D17781"/>
    <w:rsid w:val="00D3331F"/>
    <w:rsid w:val="00D34B70"/>
    <w:rsid w:val="00D45479"/>
    <w:rsid w:val="00D71B33"/>
    <w:rsid w:val="00D72D60"/>
    <w:rsid w:val="00D921D3"/>
    <w:rsid w:val="00D9569E"/>
    <w:rsid w:val="00DA5FA1"/>
    <w:rsid w:val="00DB145F"/>
    <w:rsid w:val="00DB1546"/>
    <w:rsid w:val="00DB1BAF"/>
    <w:rsid w:val="00DB24E4"/>
    <w:rsid w:val="00DC0BF3"/>
    <w:rsid w:val="00DC0C0E"/>
    <w:rsid w:val="00DF3CDE"/>
    <w:rsid w:val="00E213D0"/>
    <w:rsid w:val="00E251DF"/>
    <w:rsid w:val="00E25616"/>
    <w:rsid w:val="00E25E45"/>
    <w:rsid w:val="00E64912"/>
    <w:rsid w:val="00E7537C"/>
    <w:rsid w:val="00E954F4"/>
    <w:rsid w:val="00E965D0"/>
    <w:rsid w:val="00EA1706"/>
    <w:rsid w:val="00EA190E"/>
    <w:rsid w:val="00EB126B"/>
    <w:rsid w:val="00EB712B"/>
    <w:rsid w:val="00EC34F3"/>
    <w:rsid w:val="00EF1FEF"/>
    <w:rsid w:val="00F20C66"/>
    <w:rsid w:val="00F2660C"/>
    <w:rsid w:val="00F32DF2"/>
    <w:rsid w:val="00F35475"/>
    <w:rsid w:val="00F41B23"/>
    <w:rsid w:val="00F537EA"/>
    <w:rsid w:val="00F54165"/>
    <w:rsid w:val="00F716C8"/>
    <w:rsid w:val="00F724CD"/>
    <w:rsid w:val="00F80F1F"/>
    <w:rsid w:val="00FA0DCE"/>
    <w:rsid w:val="00FD78D5"/>
    <w:rsid w:val="00FD7F60"/>
    <w:rsid w:val="00FE2A31"/>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41A5B702-D8D9-4859-B07E-AD49F4B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557507"/>
    <w:pPr>
      <w:keepNext/>
      <w:keepLines/>
      <w:spacing w:after="120" w:line="200" w:lineRule="atLeast"/>
      <w:ind w:left="835" w:right="-360"/>
      <w:outlineLvl w:val="0"/>
    </w:pPr>
    <w:rPr>
      <w:rFonts w:ascii="Arial" w:hAnsi="Arial"/>
      <w:b/>
      <w:spacing w:val="-10"/>
      <w:kern w:val="28"/>
      <w:sz w:val="22"/>
      <w:szCs w:val="20"/>
    </w:rPr>
  </w:style>
  <w:style w:type="paragraph" w:styleId="Heading2">
    <w:name w:val="heading 2"/>
    <w:basedOn w:val="Normal"/>
    <w:next w:val="Normal"/>
    <w:link w:val="Heading2Char"/>
    <w:uiPriority w:val="9"/>
    <w:semiHidden/>
    <w:unhideWhenUsed/>
    <w:qFormat/>
    <w:rsid w:val="007C73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7507"/>
    <w:pPr>
      <w:tabs>
        <w:tab w:val="center" w:pos="4320"/>
        <w:tab w:val="right" w:pos="8640"/>
      </w:tabs>
    </w:pPr>
  </w:style>
  <w:style w:type="paragraph" w:styleId="Footer">
    <w:name w:val="footer"/>
    <w:basedOn w:val="Normal"/>
    <w:link w:val="FooterChar"/>
    <w:rsid w:val="00557507"/>
    <w:pPr>
      <w:tabs>
        <w:tab w:val="center" w:pos="4320"/>
        <w:tab w:val="right" w:pos="8640"/>
      </w:tabs>
    </w:pPr>
  </w:style>
  <w:style w:type="paragraph" w:styleId="BodyText">
    <w:name w:val="Body Text"/>
    <w:basedOn w:val="Normal"/>
    <w:rsid w:val="00557507"/>
    <w:pPr>
      <w:spacing w:after="220" w:line="220" w:lineRule="atLeast"/>
      <w:ind w:left="840" w:right="-360"/>
    </w:pPr>
    <w:rPr>
      <w:sz w:val="20"/>
      <w:szCs w:val="20"/>
    </w:rPr>
  </w:style>
  <w:style w:type="character" w:customStyle="1" w:styleId="FooterChar">
    <w:name w:val="Footer Char"/>
    <w:link w:val="Footer"/>
    <w:rsid w:val="00715F3F"/>
    <w:rPr>
      <w:sz w:val="24"/>
      <w:szCs w:val="24"/>
    </w:rPr>
  </w:style>
  <w:style w:type="character" w:customStyle="1" w:styleId="Heading2Char">
    <w:name w:val="Heading 2 Char"/>
    <w:link w:val="Heading2"/>
    <w:uiPriority w:val="9"/>
    <w:semiHidden/>
    <w:rsid w:val="007C73BC"/>
    <w:rPr>
      <w:rFonts w:ascii="Calibri Light" w:eastAsia="Times New Roman" w:hAnsi="Calibri Light" w:cs="Times New Roman"/>
      <w:b/>
      <w:bCs/>
      <w:i/>
      <w:iCs/>
      <w:sz w:val="28"/>
      <w:szCs w:val="28"/>
    </w:rPr>
  </w:style>
  <w:style w:type="paragraph" w:styleId="MessageHeader">
    <w:name w:val="Message Header"/>
    <w:basedOn w:val="BodyText"/>
    <w:link w:val="MessageHeaderChar"/>
    <w:rsid w:val="007C73BC"/>
    <w:pPr>
      <w:keepLines/>
      <w:pBdr>
        <w:bottom w:val="single" w:sz="6" w:space="2" w:color="auto"/>
        <w:between w:val="single" w:sz="6" w:space="2" w:color="auto"/>
      </w:pBdr>
      <w:tabs>
        <w:tab w:val="left" w:pos="720"/>
        <w:tab w:val="left" w:pos="4320"/>
        <w:tab w:val="left" w:pos="5040"/>
        <w:tab w:val="right" w:pos="8640"/>
      </w:tabs>
      <w:spacing w:after="0" w:line="440" w:lineRule="atLeast"/>
      <w:ind w:left="720" w:right="0" w:hanging="720"/>
    </w:pPr>
    <w:rPr>
      <w:rFonts w:ascii="Arial" w:hAnsi="Arial"/>
      <w:spacing w:val="-5"/>
    </w:rPr>
  </w:style>
  <w:style w:type="character" w:customStyle="1" w:styleId="MessageHeaderChar">
    <w:name w:val="Message Header Char"/>
    <w:link w:val="MessageHeader"/>
    <w:rsid w:val="007C73BC"/>
    <w:rPr>
      <w:rFonts w:ascii="Arial" w:hAnsi="Arial"/>
      <w:spacing w:val="-5"/>
    </w:rPr>
  </w:style>
  <w:style w:type="paragraph" w:customStyle="1" w:styleId="BodyTextFirst">
    <w:name w:val="Body Text First"/>
    <w:basedOn w:val="BodyText"/>
    <w:next w:val="BodyText"/>
    <w:rsid w:val="007C73BC"/>
    <w:pPr>
      <w:spacing w:after="0" w:line="240" w:lineRule="auto"/>
      <w:ind w:left="72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Bridge Analyzers, Inc.</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Schrader</dc:creator>
  <cp:keywords/>
  <cp:lastModifiedBy>Robert Vince</cp:lastModifiedBy>
  <cp:revision>2</cp:revision>
  <dcterms:created xsi:type="dcterms:W3CDTF">2016-06-30T14:23:00Z</dcterms:created>
  <dcterms:modified xsi:type="dcterms:W3CDTF">2016-06-30T14:23:00Z</dcterms:modified>
</cp:coreProperties>
</file>